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26</w:t>
      </w:r>
    </w:p>
    <w:p>
      <w:r>
        <w:t>Bundesgericht (BGE), 1989-04-10, FR</w:t>
      </w:r>
    </w:p>
    <w:p>
      <w:r>
        <w:rPr>
          <w:b/>
        </w:rPr>
        <w:t xml:space="preserve">Quelle: </w:t>
      </w:r>
      <w:r>
        <w:t>https://mcp.opencaselaw.ch/entscheid/bge_117 III 26</w:t>
      </w:r>
    </w:p>
    <w:p>
      <w:r>
        <w:t>FR: ATF 117 III 26</w:t>
      </w:r>
    </w:p>
    <w:p>
      <w:r>
        <w:t>IT: DTF 117 III 26</w:t>
      </w:r>
    </w:p>
    <w:p>
      <w:pPr>
        <w:pStyle w:val="Heading2"/>
      </w:pPr>
      <w:r>
        <w:t>Regeste</w:t>
      </w:r>
    </w:p>
    <w:p>
      <w:r>
        <w:t>Regeste Art. 83, 93 und Art. 115 SchKG; Provisorische Lohnpfändung, Nachpfändung. Die Pfändung des künftigen Lohnes ist auf die Periode eines Jahres seit dem Pfändungsvollzug beschränkt. Eine neue Betreibung und eine neue Pfändung können erst nach Abschluss der vorangegangen Betreibung für den noch ausstehenden Forderungsbetrag erfolgen (E. 1). Eine Nachpfändung kann nicht erfolgen, solange die Pfändung provisorisch ist (E. 2).</w:t>
      </w:r>
    </w:p>
    <w:p>
      <w:pPr>
        <w:pStyle w:val="Heading2"/>
      </w:pPr>
      <w:r>
        <w:t>Erwägungen</w:t>
      </w:r>
    </w:p>
    <w:p>
      <w:r>
        <w:rPr>
          <w:b/>
        </w:rPr>
        <w:t>E. 1</w:t>
      </w:r>
    </w:p>
    <w:p>
      <w:r>
        <w:t>Comme le poursuivi a fait usage, après la mainlevée provisoire, de son droit d'agir en libération de dette et que son action est toujours pendante, la saisie décrétée par l'Office n'est pas devenue définitive ( art. 83 al. 3 LP ). Elle est provisoire. Toutefois, cette saisie provisoire doit être exécutée comme une saisie définitive et peut également porter sur le salaire du poursuivi ( ATF 83 III 19 ). Dès la fin du siècle passé, la jurisprudence concernant l' art. 93 LP a précisé que la saisie du salaire futur du poursuivi devait être limitée à une période d'un an à compter de l'exécution de la saisie ( ATF 116 III 17 ; ATF 98 III 14 ; ATF 94 III 13 et les arrêts cités). Cette limitation, instituée principalement dans l'intérêt des créanciers exclus de la saisie en cours, mais aussi dans celui du débiteur ( ATF 98 III 17 ), a le caractère d'une règle d'ordre public. C'est après la clôture de la poursuite que le créancier qui n'a pas été entièrement désintéressé sur le produit de la saisie de salaire ou d'une autre manière peut en introduire une nouvelle pour le solde de sa créance et faire saisir à nouveau le salaire futur du débiteur ( ATF 98 III 16 ). En l'espèce, la poursuite ne peut être clôturée, car le sort de la créance qui la fonde n'est pas tranché. Il en est ainsi tant que l'action en libération de dette est pendante. Le recourant ne peut donc pas introduire une nouvelle poursuite pour le solde de sa créance.</w:t>
      </w:r>
    </w:p>
    <w:p>
      <w:r>
        <w:rPr>
          <w:b/>
        </w:rPr>
        <w:t>E. 2</w:t>
      </w:r>
    </w:p>
    <w:p>
      <w:r>
        <w:t>L'introduction d'une nouvelle poursuite, par réquisition selon les art. 67, 149 al. 3 ou 158 al. 2 LP, n'est cependant pas la seule voie ouverte au créancier. La jurisprudence a créé la possibilité d'une saisie complémentaire pour tout créancier saisissant, au bénéfice d'un acte de défaut de biens provisoire, qui la requiert après la clôture du délai de participation et dans le délai d'un an dès la notification du commandement de payer dans lequel la continuation de la poursuite doit être requise ( ATF 88 III 61 et les arrêts cités). Pour obtenir le bénéfice de cette institution prétorienne, le poursuivant doit être au bénéfice d'un acte de défaut de biens ou d'un procès-verbal de saisie valant acte de défaut de biens conformément à l' art. 115 LP . En l'espèce, le recourant se prévaut de la saisie provisoire concrétisée par les procès-verbaux de saisie des 10 avril et 15 juin 1989. Ces actes ne valent toutefois pas acte de défaut de biens tant que la saisie n'est pas définitive ( ATF 76 III 2 ss). Un acte de défaut de biens définitifs n'est en BGE 117 III 26 S. 29 effet envisageable qu'une fois la poursuite définitivement exécutée, ce qui postule la mainlevée et la saisie définitives. La délivrance d'une reconnaissance de dette ( art. 149 al. 2 LP ) ne saurait d'ailleurs intervenir alors que le sort de l'action en libération de dette n'est pas tranché. On ne peut non plus admettre qu'il y a acte de défaut de biens provisoire, au sens de l' art. 115 al. 2 LP , car les droits compétant au créancier en vertu de cette disposition, en particulier les possibilités de mainmise sur le patrimoine du poursuivi, seraient injustifiés tant que la créance est contestée. Le recourant, qui n'est pas au bénéfice d'un acte de défaut de biens, ni directement, ni par équivalence, ne peut donc exiger une saisie complémentaire, qui ne peut être provisoire.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